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0" w:type="dxa"/>
        <w:tblInd w:w="817" w:type="dxa"/>
        <w:tblLook w:val="01E0" w:firstRow="1" w:lastRow="1" w:firstColumn="1" w:lastColumn="1" w:noHBand="0" w:noVBand="0"/>
      </w:tblPr>
      <w:tblGrid>
        <w:gridCol w:w="4394"/>
        <w:gridCol w:w="4536"/>
      </w:tblGrid>
      <w:tr w:rsidR="00ED0DBE" w:rsidRPr="00ED0DBE" w14:paraId="0D55CEA5" w14:textId="77777777" w:rsidTr="00482625">
        <w:tc>
          <w:tcPr>
            <w:tcW w:w="4394" w:type="dxa"/>
            <w:shd w:val="clear" w:color="auto" w:fill="auto"/>
          </w:tcPr>
          <w:p w14:paraId="6971626C" w14:textId="7C43AC07" w:rsidR="00ED0DBE" w:rsidRPr="00ED0DBE" w:rsidRDefault="00ED0DBE" w:rsidP="00482625">
            <w:pPr>
              <w:rPr>
                <w:rFonts w:ascii="Calibri" w:hAnsi="Calibri" w:cs="Calibri"/>
                <w:lang w:val="uk-UA"/>
              </w:rPr>
            </w:pPr>
            <w:r w:rsidRPr="00ED0DBE">
              <w:rPr>
                <w:rFonts w:ascii="Calibri" w:hAnsi="Calibri" w:cs="Calibri"/>
                <w:lang w:val="uk-UA" w:eastAsia="ru-RU"/>
              </w:rPr>
              <w:drawing>
                <wp:inline distT="0" distB="0" distL="0" distR="0" wp14:anchorId="25A5EC92" wp14:editId="49026759">
                  <wp:extent cx="26289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</w:tcPr>
          <w:p w14:paraId="3DD9AAB7" w14:textId="77777777" w:rsidR="00ED0DBE" w:rsidRPr="00ED0DBE" w:rsidRDefault="00ED0DBE" w:rsidP="00482625">
            <w:pPr>
              <w:rPr>
                <w:rFonts w:ascii="Calibri" w:hAnsi="Calibri" w:cs="Calibri"/>
                <w:b/>
                <w:lang w:val="uk-UA"/>
              </w:rPr>
            </w:pPr>
            <w:r w:rsidRPr="00ED0DBE">
              <w:rPr>
                <w:rFonts w:ascii="Calibri" w:hAnsi="Calibri" w:cs="Calibri"/>
                <w:b/>
                <w:lang w:val="uk-UA"/>
              </w:rPr>
              <w:t xml:space="preserve">ЄВРОПЕЙСЬКИЙ КОМІТЕТ ІЗ ВИЗНАЧЕННЯ ЧУТЛИВОСТІ </w:t>
            </w:r>
          </w:p>
          <w:p w14:paraId="62771462" w14:textId="77777777" w:rsidR="00ED0DBE" w:rsidRPr="00ED0DBE" w:rsidRDefault="00ED0DBE" w:rsidP="00482625">
            <w:pPr>
              <w:jc w:val="both"/>
              <w:rPr>
                <w:rFonts w:ascii="Calibri" w:hAnsi="Calibri" w:cs="Calibri"/>
                <w:b/>
                <w:lang w:val="uk-UA"/>
              </w:rPr>
            </w:pPr>
            <w:r w:rsidRPr="00ED0DBE">
              <w:rPr>
                <w:rFonts w:ascii="Calibri" w:hAnsi="Calibri" w:cs="Calibri"/>
                <w:b/>
                <w:lang w:val="uk-UA"/>
              </w:rPr>
              <w:t xml:space="preserve">ДО АНТИБІОТИКІВ </w:t>
            </w:r>
          </w:p>
        </w:tc>
      </w:tr>
      <w:tr w:rsidR="00ED0DBE" w:rsidRPr="00ED0DBE" w14:paraId="0794E5DA" w14:textId="77777777" w:rsidTr="00482625">
        <w:trPr>
          <w:trHeight w:val="124"/>
        </w:trPr>
        <w:tc>
          <w:tcPr>
            <w:tcW w:w="8930" w:type="dxa"/>
            <w:gridSpan w:val="2"/>
            <w:shd w:val="clear" w:color="auto" w:fill="auto"/>
          </w:tcPr>
          <w:p w14:paraId="2FE537A8" w14:textId="77777777" w:rsidR="00ED0DBE" w:rsidRPr="00ED0DBE" w:rsidRDefault="00ED0DBE" w:rsidP="00482625">
            <w:pPr>
              <w:rPr>
                <w:rFonts w:ascii="Calibri" w:hAnsi="Calibri" w:cs="Calibri"/>
                <w:b/>
                <w:lang w:val="uk-UA"/>
              </w:rPr>
            </w:pPr>
            <w:r w:rsidRPr="00ED0DBE">
              <w:rPr>
                <w:rFonts w:ascii="Calibri" w:hAnsi="Calibri" w:cs="Calibri"/>
                <w:b/>
                <w:lang w:val="uk-UA"/>
              </w:rPr>
              <w:t xml:space="preserve"> Європейське товариство з клінічної мікробіології та інфекційних хвороб</w:t>
            </w:r>
          </w:p>
        </w:tc>
      </w:tr>
    </w:tbl>
    <w:p w14:paraId="5E2FEFE5" w14:textId="77777777" w:rsidR="00ED0DBE" w:rsidRPr="00ED0DBE" w:rsidRDefault="00ED0DBE">
      <w:pPr>
        <w:pStyle w:val="40"/>
        <w:shd w:val="clear" w:color="auto" w:fill="auto"/>
        <w:spacing w:before="0" w:after="462"/>
        <w:ind w:left="40"/>
        <w:rPr>
          <w:rStyle w:val="41"/>
          <w:b/>
          <w:bCs/>
          <w:lang w:val="uk-UA"/>
        </w:rPr>
      </w:pPr>
    </w:p>
    <w:p w14:paraId="0ED56138" w14:textId="7BF71FC2" w:rsidR="00D96173" w:rsidRPr="00ED0DBE" w:rsidRDefault="00ED0DBE">
      <w:pPr>
        <w:pStyle w:val="40"/>
        <w:shd w:val="clear" w:color="auto" w:fill="auto"/>
        <w:spacing w:before="0" w:after="462"/>
        <w:ind w:left="40"/>
        <w:rPr>
          <w:lang w:val="uk-UA"/>
        </w:rPr>
      </w:pPr>
      <w:r w:rsidRPr="00ED0DBE">
        <w:rPr>
          <w:rStyle w:val="41"/>
          <w:b/>
          <w:bCs/>
          <w:lang w:val="uk-UA"/>
        </w:rPr>
        <w:t>Керівний документ</w:t>
      </w:r>
    </w:p>
    <w:p w14:paraId="2AFF5306" w14:textId="14F828D9" w:rsidR="00D96173" w:rsidRPr="00ED0DBE" w:rsidRDefault="00ED0DBE">
      <w:pPr>
        <w:pStyle w:val="10"/>
        <w:keepNext/>
        <w:keepLines/>
        <w:shd w:val="clear" w:color="auto" w:fill="auto"/>
        <w:spacing w:before="0" w:after="437"/>
        <w:ind w:left="40"/>
        <w:rPr>
          <w:lang w:val="uk-UA"/>
        </w:rPr>
      </w:pPr>
      <w:bookmarkStart w:id="0" w:name="bookmark0"/>
      <w:r w:rsidRPr="00ED0DBE">
        <w:rPr>
          <w:rStyle w:val="11"/>
          <w:b/>
          <w:bCs/>
          <w:lang w:val="uk-UA"/>
        </w:rPr>
        <w:t xml:space="preserve">Граничні значення </w:t>
      </w:r>
      <w:r w:rsidR="002F77D0" w:rsidRPr="00ED0DBE">
        <w:rPr>
          <w:rStyle w:val="11"/>
          <w:b/>
          <w:bCs/>
          <w:lang w:val="uk-UA"/>
        </w:rPr>
        <w:t xml:space="preserve">EUCAST </w:t>
      </w:r>
      <w:bookmarkEnd w:id="0"/>
      <w:r w:rsidRPr="00ED0DBE">
        <w:rPr>
          <w:rStyle w:val="11"/>
          <w:b/>
          <w:bCs/>
          <w:lang w:val="uk-UA"/>
        </w:rPr>
        <w:t>у дужках</w:t>
      </w:r>
    </w:p>
    <w:p w14:paraId="2020D111" w14:textId="67375D76" w:rsidR="00D96173" w:rsidRPr="00ED0DBE" w:rsidRDefault="002F77D0">
      <w:pPr>
        <w:pStyle w:val="20"/>
        <w:keepNext/>
        <w:keepLines/>
        <w:shd w:val="clear" w:color="auto" w:fill="auto"/>
        <w:spacing w:before="0" w:after="832"/>
        <w:ind w:left="40"/>
        <w:rPr>
          <w:lang w:val="uk-UA"/>
        </w:rPr>
      </w:pPr>
      <w:bookmarkStart w:id="1" w:name="bookmark1"/>
      <w:r w:rsidRPr="00ED0DBE">
        <w:rPr>
          <w:rStyle w:val="21"/>
          <w:b/>
          <w:bCs/>
          <w:lang w:val="uk-UA"/>
        </w:rPr>
        <w:t xml:space="preserve">1 </w:t>
      </w:r>
      <w:r w:rsidR="00ED0DBE" w:rsidRPr="00ED0DBE">
        <w:rPr>
          <w:rStyle w:val="21"/>
          <w:b/>
          <w:bCs/>
          <w:lang w:val="uk-UA"/>
        </w:rPr>
        <w:t>грудня</w:t>
      </w:r>
      <w:r w:rsidRPr="00ED0DBE">
        <w:rPr>
          <w:rStyle w:val="21"/>
          <w:b/>
          <w:bCs/>
          <w:lang w:val="uk-UA"/>
        </w:rPr>
        <w:t>, 2021</w:t>
      </w:r>
      <w:bookmarkEnd w:id="1"/>
    </w:p>
    <w:p w14:paraId="429CE26B" w14:textId="3B99F74F" w:rsidR="00ED0DBE" w:rsidRPr="00ED0DBE" w:rsidRDefault="00ED0DBE" w:rsidP="00C33DEC">
      <w:pPr>
        <w:pStyle w:val="23"/>
        <w:spacing w:before="120" w:after="240" w:line="240" w:lineRule="auto"/>
        <w:jc w:val="both"/>
        <w:rPr>
          <w:lang w:val="uk-UA"/>
        </w:rPr>
      </w:pPr>
      <w:r w:rsidRPr="00ED0DBE">
        <w:rPr>
          <w:lang w:val="uk-UA"/>
        </w:rPr>
        <w:t>Нещодавно EUCAST представив концепцію «</w:t>
      </w:r>
      <w:r w:rsidRPr="00ED0DBE">
        <w:rPr>
          <w:lang w:val="uk-UA"/>
        </w:rPr>
        <w:t>граничних значень</w:t>
      </w:r>
      <w:r w:rsidRPr="00ED0DBE">
        <w:rPr>
          <w:lang w:val="uk-UA"/>
        </w:rPr>
        <w:t xml:space="preserve"> у дужках», щоб застерегти від використання певних агентів без використання додаткових терапевтичних заходів. Для цих препаратів зазвичай відсутні клінічні докази як монотерапії, але вони все одно можуть використовуватися за конкретними показаннями або в комбінації з іншим активним агентом чи заходом. </w:t>
      </w:r>
      <w:r w:rsidRPr="00ED0DBE">
        <w:rPr>
          <w:lang w:val="uk-UA"/>
        </w:rPr>
        <w:t>Граничні значення</w:t>
      </w:r>
      <w:r w:rsidRPr="00ED0DBE">
        <w:rPr>
          <w:lang w:val="uk-UA"/>
        </w:rPr>
        <w:t xml:space="preserve"> в дужках, по суті, є значеннями ECOFF, які розрізняють ізоляти з набутою резистентністю та без неї. Оскільки вони іноді </w:t>
      </w:r>
      <w:r w:rsidRPr="00ED0DBE">
        <w:rPr>
          <w:lang w:val="uk-UA"/>
        </w:rPr>
        <w:t>використовуються</w:t>
      </w:r>
      <w:r w:rsidRPr="00ED0DBE">
        <w:rPr>
          <w:lang w:val="uk-UA"/>
        </w:rPr>
        <w:t xml:space="preserve"> більше ніж </w:t>
      </w:r>
      <w:r w:rsidRPr="00ED0DBE">
        <w:rPr>
          <w:lang w:val="uk-UA"/>
        </w:rPr>
        <w:t>для одного</w:t>
      </w:r>
      <w:r w:rsidRPr="00ED0DBE">
        <w:rPr>
          <w:lang w:val="uk-UA"/>
        </w:rPr>
        <w:t xml:space="preserve"> вид</w:t>
      </w:r>
      <w:r w:rsidRPr="00ED0DBE">
        <w:rPr>
          <w:lang w:val="uk-UA"/>
        </w:rPr>
        <w:t>у</w:t>
      </w:r>
      <w:r w:rsidRPr="00ED0DBE">
        <w:rPr>
          <w:lang w:val="uk-UA"/>
        </w:rPr>
        <w:t>, вони можуть представляти «найкращий» ECOFF. Якщо сумніваєтеся щодо достовірності контрольної точки в дужках, перейдіть на сайт www.mic.eucast.org, щоб знайти точне значення ECOFF для певного виду.</w:t>
      </w:r>
    </w:p>
    <w:p w14:paraId="17A70C39" w14:textId="77777777" w:rsidR="00ED0DBE" w:rsidRPr="00ED0DBE" w:rsidRDefault="00ED0DBE" w:rsidP="00C33DEC">
      <w:pPr>
        <w:pStyle w:val="23"/>
        <w:spacing w:before="120" w:after="240" w:line="240" w:lineRule="auto"/>
        <w:jc w:val="both"/>
        <w:rPr>
          <w:lang w:val="uk-UA"/>
        </w:rPr>
      </w:pPr>
      <w:r w:rsidRPr="00ED0DBE">
        <w:rPr>
          <w:lang w:val="uk-UA"/>
        </w:rPr>
        <w:t>Для цих агентів традицією є використання їх у поєднанні з іншими ефективними заходами, часто іншим активним агентом, для компенсації внутрішньої неадекватності агента.</w:t>
      </w:r>
    </w:p>
    <w:p w14:paraId="753CF523" w14:textId="70B216CA" w:rsidR="00ED0DBE" w:rsidRPr="00ED0DBE" w:rsidRDefault="00ED0DBE" w:rsidP="00C33DEC">
      <w:pPr>
        <w:pStyle w:val="23"/>
        <w:spacing w:before="120" w:after="240" w:line="240" w:lineRule="auto"/>
        <w:jc w:val="both"/>
        <w:rPr>
          <w:lang w:val="uk-UA"/>
        </w:rPr>
      </w:pPr>
      <w:r w:rsidRPr="00ED0DBE">
        <w:rPr>
          <w:lang w:val="uk-UA"/>
        </w:rPr>
        <w:t>У деяких випадках агенти можна використовувати окремо, якщо вони значно сконцентровані в місці інфікування. Наприклад, лікування інфекцій сечовивідних шляхів із «ускладнен</w:t>
      </w:r>
      <w:r w:rsidRPr="00ED0DBE">
        <w:rPr>
          <w:lang w:val="uk-UA"/>
        </w:rPr>
        <w:t>ням</w:t>
      </w:r>
      <w:r w:rsidRPr="00ED0DBE">
        <w:rPr>
          <w:lang w:val="uk-UA"/>
        </w:rPr>
        <w:t>»</w:t>
      </w:r>
      <w:r w:rsidRPr="00ED0DBE">
        <w:rPr>
          <w:lang w:val="uk-UA"/>
        </w:rPr>
        <w:t xml:space="preserve">, </w:t>
      </w:r>
      <w:r w:rsidRPr="00ED0DBE">
        <w:rPr>
          <w:lang w:val="uk-UA"/>
        </w:rPr>
        <w:t>бактерії, які важко лікувати іншими агентами через розвиток резистентності.</w:t>
      </w:r>
    </w:p>
    <w:p w14:paraId="7D23FEBD" w14:textId="57D96EE4" w:rsidR="00ED0DBE" w:rsidRPr="00ED0DBE" w:rsidRDefault="00ED0DBE" w:rsidP="00C33DEC">
      <w:pPr>
        <w:pStyle w:val="23"/>
        <w:spacing w:before="120" w:after="240" w:line="240" w:lineRule="auto"/>
        <w:jc w:val="both"/>
        <w:rPr>
          <w:lang w:val="uk-UA"/>
        </w:rPr>
      </w:pPr>
      <w:r w:rsidRPr="00ED0DBE">
        <w:rPr>
          <w:lang w:val="uk-UA"/>
        </w:rPr>
        <w:t>Крім того, іноді країна враховує свої давні традиції та великий досвід роботи з агентом, що дозволяє їм використовувати агент без додаткових заходів, оскільки традиції використання адаптовані, щоб уникнути невідповідності агента. У таких випадках Національна АСТ</w:t>
      </w:r>
      <w:r>
        <w:rPr>
          <w:lang w:val="uk-UA"/>
        </w:rPr>
        <w:t xml:space="preserve"> </w:t>
      </w:r>
      <w:r w:rsidRPr="00ED0DBE">
        <w:rPr>
          <w:lang w:val="uk-UA"/>
        </w:rPr>
        <w:t>комітет (NAC) інформуватиме лабораторії про відповідну практику.</w:t>
      </w:r>
    </w:p>
    <w:p w14:paraId="089DF55E" w14:textId="7AC42B8F" w:rsidR="00ED0DBE" w:rsidRPr="00ED0DBE" w:rsidRDefault="00ED0DBE" w:rsidP="00C33DEC">
      <w:pPr>
        <w:pStyle w:val="23"/>
        <w:shd w:val="clear" w:color="auto" w:fill="auto"/>
        <w:spacing w:before="120" w:after="240" w:line="240" w:lineRule="auto"/>
        <w:jc w:val="both"/>
        <w:rPr>
          <w:lang w:val="uk-UA"/>
        </w:rPr>
      </w:pPr>
      <w:r w:rsidRPr="00ED0DBE">
        <w:rPr>
          <w:lang w:val="uk-UA"/>
        </w:rPr>
        <w:t xml:space="preserve">Однак процес EUCAST для оцінки властивостей і активності агентів не допускає формальних </w:t>
      </w:r>
      <w:r>
        <w:rPr>
          <w:lang w:val="uk-UA"/>
        </w:rPr>
        <w:t>граничних значень</w:t>
      </w:r>
      <w:r w:rsidRPr="00ED0DBE">
        <w:rPr>
          <w:lang w:val="uk-UA"/>
        </w:rPr>
        <w:t xml:space="preserve"> для одного агента, щоб стимулювати використання агента без додаткових терапевтичних заходів. Цей документ описує загальну концепцію розміщення </w:t>
      </w:r>
      <w:r>
        <w:rPr>
          <w:lang w:val="uk-UA"/>
        </w:rPr>
        <w:t>граничних значень</w:t>
      </w:r>
      <w:r w:rsidRPr="00ED0DBE">
        <w:rPr>
          <w:lang w:val="uk-UA"/>
        </w:rPr>
        <w:t xml:space="preserve"> в дужках, але не вдається в подробиці для кожного з агентів – для отримання додаткової інформації перегляньте посилання </w:t>
      </w:r>
      <w:r w:rsidRPr="00ED0DBE">
        <w:rPr>
          <w:lang w:val="uk-UA"/>
        </w:rPr>
        <w:lastRenderedPageBreak/>
        <w:t>нижче</w:t>
      </w:r>
    </w:p>
    <w:tbl>
      <w:tblPr>
        <w:tblStyle w:val="a6"/>
        <w:tblW w:w="0" w:type="auto"/>
        <w:tblInd w:w="400" w:type="dxa"/>
        <w:tblLook w:val="04A0" w:firstRow="1" w:lastRow="0" w:firstColumn="1" w:lastColumn="0" w:noHBand="0" w:noVBand="1"/>
      </w:tblPr>
      <w:tblGrid>
        <w:gridCol w:w="9243"/>
      </w:tblGrid>
      <w:tr w:rsidR="00ED0DBE" w14:paraId="5857BB65" w14:textId="77777777" w:rsidTr="00ED0DBE">
        <w:tc>
          <w:tcPr>
            <w:tcW w:w="9869" w:type="dxa"/>
          </w:tcPr>
          <w:p w14:paraId="05995E70" w14:textId="77777777" w:rsidR="00ED0DBE" w:rsidRDefault="00ED0DBE" w:rsidP="00ED0DBE">
            <w:pPr>
              <w:pStyle w:val="23"/>
              <w:shd w:val="clear" w:color="auto" w:fill="auto"/>
              <w:tabs>
                <w:tab w:val="left" w:pos="757"/>
              </w:tabs>
              <w:spacing w:before="0" w:after="0"/>
              <w:ind w:left="400"/>
              <w:rPr>
                <w:sz w:val="28"/>
                <w:szCs w:val="28"/>
                <w:lang w:val="uk-UA"/>
              </w:rPr>
            </w:pPr>
          </w:p>
          <w:p w14:paraId="67C8A289" w14:textId="66ACBF0E" w:rsidR="00ED0DBE" w:rsidRDefault="00ED0DBE" w:rsidP="00ED0DBE">
            <w:pPr>
              <w:pStyle w:val="23"/>
              <w:shd w:val="clear" w:color="auto" w:fill="auto"/>
              <w:tabs>
                <w:tab w:val="left" w:pos="757"/>
              </w:tabs>
              <w:spacing w:before="0" w:after="0"/>
              <w:ind w:left="400"/>
              <w:rPr>
                <w:sz w:val="28"/>
                <w:szCs w:val="28"/>
                <w:lang w:val="uk-UA"/>
              </w:rPr>
            </w:pPr>
            <w:r w:rsidRPr="00ED0DBE">
              <w:rPr>
                <w:sz w:val="28"/>
                <w:szCs w:val="28"/>
                <w:lang w:val="uk-UA"/>
              </w:rPr>
              <w:t xml:space="preserve">Ізоляти з резистентністю (МІК вище або діаметр зони нижче </w:t>
            </w:r>
            <w:r>
              <w:rPr>
                <w:sz w:val="28"/>
                <w:szCs w:val="28"/>
                <w:lang w:val="uk-UA"/>
              </w:rPr>
              <w:t>С</w:t>
            </w:r>
            <w:r w:rsidRPr="00ED0DB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граничного значення</w:t>
            </w:r>
            <w:r w:rsidRPr="00ED0DBE">
              <w:rPr>
                <w:sz w:val="28"/>
                <w:szCs w:val="28"/>
                <w:lang w:val="uk-UA"/>
              </w:rPr>
              <w:t xml:space="preserve"> в дужках) можуть бути позначені як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ED0DBE">
              <w:rPr>
                <w:sz w:val="28"/>
                <w:szCs w:val="28"/>
                <w:lang w:val="uk-UA"/>
              </w:rPr>
              <w:t xml:space="preserve"> (стійкі), але слід уникати повідомлення </w:t>
            </w:r>
            <w:r>
              <w:rPr>
                <w:sz w:val="28"/>
                <w:szCs w:val="28"/>
                <w:lang w:val="uk-UA"/>
              </w:rPr>
              <w:t>Ч</w:t>
            </w:r>
            <w:r w:rsidRPr="00ED0DBE">
              <w:rPr>
                <w:sz w:val="28"/>
                <w:szCs w:val="28"/>
                <w:lang w:val="uk-UA"/>
              </w:rPr>
              <w:t xml:space="preserve"> або </w:t>
            </w:r>
            <w:r>
              <w:rPr>
                <w:sz w:val="28"/>
                <w:szCs w:val="28"/>
                <w:lang w:val="uk-UA"/>
              </w:rPr>
              <w:t>П</w:t>
            </w:r>
            <w:r w:rsidRPr="00ED0DBE">
              <w:rPr>
                <w:sz w:val="28"/>
                <w:szCs w:val="28"/>
                <w:lang w:val="uk-UA"/>
              </w:rPr>
              <w:t xml:space="preserve">, і, якщо це буде визнано за необхідне, має бути коментар, щоб пояснити необхідність додаткових заходів, як </w:t>
            </w:r>
            <w:r>
              <w:rPr>
                <w:sz w:val="28"/>
                <w:szCs w:val="28"/>
                <w:lang w:val="uk-UA"/>
              </w:rPr>
              <w:t xml:space="preserve">вказано </w:t>
            </w:r>
            <w:r w:rsidRPr="00ED0DBE">
              <w:rPr>
                <w:sz w:val="28"/>
                <w:szCs w:val="28"/>
                <w:lang w:val="uk-UA"/>
              </w:rPr>
              <w:t>вище.</w:t>
            </w:r>
          </w:p>
          <w:p w14:paraId="21A88089" w14:textId="77777777" w:rsidR="00ED0DBE" w:rsidRDefault="00ED0DBE" w:rsidP="00ED0DBE">
            <w:pPr>
              <w:pStyle w:val="23"/>
              <w:shd w:val="clear" w:color="auto" w:fill="auto"/>
              <w:tabs>
                <w:tab w:val="left" w:pos="757"/>
              </w:tabs>
              <w:spacing w:before="0" w:after="0"/>
              <w:rPr>
                <w:sz w:val="28"/>
                <w:szCs w:val="28"/>
                <w:lang w:val="uk-UA"/>
              </w:rPr>
            </w:pPr>
          </w:p>
        </w:tc>
      </w:tr>
    </w:tbl>
    <w:p w14:paraId="0F0BD8A8" w14:textId="77777777" w:rsidR="00ED0DBE" w:rsidRDefault="00ED0DBE" w:rsidP="00ED0DBE">
      <w:pPr>
        <w:pStyle w:val="23"/>
        <w:shd w:val="clear" w:color="auto" w:fill="auto"/>
        <w:tabs>
          <w:tab w:val="left" w:pos="757"/>
        </w:tabs>
        <w:spacing w:before="0" w:after="0"/>
        <w:ind w:left="400"/>
        <w:rPr>
          <w:lang w:val="uk-UA"/>
        </w:rPr>
      </w:pPr>
    </w:p>
    <w:p w14:paraId="0A7CC15A" w14:textId="767FC644" w:rsidR="00D96173" w:rsidRPr="00ED0DBE" w:rsidRDefault="00ED0DBE">
      <w:pPr>
        <w:pStyle w:val="23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/>
        <w:ind w:left="400"/>
        <w:rPr>
          <w:lang w:val="uk-UA"/>
        </w:rPr>
      </w:pPr>
      <w:r>
        <w:rPr>
          <w:lang w:val="uk-UA"/>
        </w:rPr>
        <w:t>Аміноглікозиди</w:t>
      </w:r>
      <w:r w:rsidR="002F77D0" w:rsidRPr="00ED0DBE">
        <w:rPr>
          <w:lang w:val="uk-UA"/>
        </w:rPr>
        <w:t xml:space="preserve"> </w:t>
      </w:r>
      <w:hyperlink r:id="rId8" w:history="1">
        <w:r w:rsidR="002F77D0" w:rsidRPr="00ED0DBE">
          <w:rPr>
            <w:lang w:val="uk-UA"/>
          </w:rPr>
          <w:t>(</w:t>
        </w:r>
        <w:r>
          <w:rPr>
            <w:rStyle w:val="24"/>
            <w:lang w:val="uk-UA"/>
          </w:rPr>
          <w:t>дивіться керівний документ</w:t>
        </w:r>
        <w:r w:rsidR="002F77D0" w:rsidRPr="00ED0DBE">
          <w:rPr>
            <w:lang w:val="uk-UA"/>
          </w:rPr>
          <w:t>)</w:t>
        </w:r>
      </w:hyperlink>
    </w:p>
    <w:p w14:paraId="6F1243CD" w14:textId="77777777" w:rsidR="00D96173" w:rsidRPr="00ED0DBE" w:rsidRDefault="002F77D0">
      <w:pPr>
        <w:pStyle w:val="60"/>
        <w:numPr>
          <w:ilvl w:val="0"/>
          <w:numId w:val="2"/>
        </w:numPr>
        <w:shd w:val="clear" w:color="auto" w:fill="auto"/>
        <w:tabs>
          <w:tab w:val="left" w:pos="1483"/>
        </w:tabs>
        <w:ind w:left="1120"/>
        <w:rPr>
          <w:lang w:val="uk-UA"/>
        </w:rPr>
      </w:pPr>
      <w:r w:rsidRPr="00ED0DBE">
        <w:rPr>
          <w:lang w:val="uk-UA"/>
        </w:rPr>
        <w:t>Enterobacterales</w:t>
      </w:r>
    </w:p>
    <w:p w14:paraId="2AC012D3" w14:textId="3AD0C90C" w:rsidR="00D96173" w:rsidRPr="00ED0DBE" w:rsidRDefault="002F77D0" w:rsidP="00ED0DBE">
      <w:pPr>
        <w:pStyle w:val="23"/>
        <w:shd w:val="clear" w:color="auto" w:fill="auto"/>
        <w:spacing w:before="0" w:after="0"/>
        <w:ind w:left="1900"/>
        <w:jc w:val="both"/>
        <w:rPr>
          <w:lang w:val="uk-UA"/>
        </w:rPr>
      </w:pPr>
      <w:r w:rsidRPr="00ED0DBE">
        <w:rPr>
          <w:lang w:val="uk-UA"/>
        </w:rPr>
        <w:t xml:space="preserve">i. </w:t>
      </w:r>
      <w:r w:rsidR="00ED0DBE">
        <w:rPr>
          <w:lang w:val="uk-UA"/>
        </w:rPr>
        <w:t>Амікцин</w:t>
      </w:r>
      <w:r w:rsidRPr="00ED0DBE">
        <w:rPr>
          <w:lang w:val="uk-UA"/>
        </w:rPr>
        <w:t xml:space="preserve">, </w:t>
      </w:r>
      <w:r w:rsidR="00ED0DBE">
        <w:rPr>
          <w:lang w:val="uk-UA"/>
        </w:rPr>
        <w:t>гентаміцин та тобраміцин при системних інфекціях</w:t>
      </w:r>
    </w:p>
    <w:p w14:paraId="259EEC2A" w14:textId="77777777" w:rsidR="00D96173" w:rsidRPr="00ED0DBE" w:rsidRDefault="002F77D0" w:rsidP="00ED0DBE">
      <w:pPr>
        <w:pStyle w:val="60"/>
        <w:numPr>
          <w:ilvl w:val="0"/>
          <w:numId w:val="2"/>
        </w:numPr>
        <w:shd w:val="clear" w:color="auto" w:fill="auto"/>
        <w:tabs>
          <w:tab w:val="left" w:pos="1483"/>
        </w:tabs>
        <w:ind w:left="1120"/>
        <w:jc w:val="both"/>
        <w:rPr>
          <w:lang w:val="uk-UA"/>
        </w:rPr>
      </w:pPr>
      <w:r w:rsidRPr="00ED0DBE">
        <w:rPr>
          <w:lang w:val="uk-UA"/>
        </w:rPr>
        <w:t>Pseudomonas</w:t>
      </w:r>
      <w:r w:rsidRPr="00ED0DBE">
        <w:rPr>
          <w:rStyle w:val="61"/>
          <w:lang w:val="uk-UA"/>
        </w:rPr>
        <w:t xml:space="preserve"> spp.</w:t>
      </w:r>
    </w:p>
    <w:p w14:paraId="5CD6D3FC" w14:textId="5B579A63" w:rsidR="00D96173" w:rsidRPr="00ED0DBE" w:rsidRDefault="002F77D0" w:rsidP="00ED0DBE">
      <w:pPr>
        <w:pStyle w:val="23"/>
        <w:shd w:val="clear" w:color="auto" w:fill="auto"/>
        <w:spacing w:before="0" w:after="0"/>
        <w:ind w:left="1900"/>
        <w:jc w:val="both"/>
        <w:rPr>
          <w:lang w:val="uk-UA"/>
        </w:rPr>
      </w:pPr>
      <w:r w:rsidRPr="00ED0DBE">
        <w:rPr>
          <w:lang w:val="uk-UA"/>
        </w:rPr>
        <w:t xml:space="preserve">i. </w:t>
      </w:r>
      <w:r w:rsidR="00ED0DBE">
        <w:rPr>
          <w:lang w:val="uk-UA"/>
        </w:rPr>
        <w:t>Амікцин</w:t>
      </w:r>
      <w:r w:rsidR="00ED0DBE" w:rsidRPr="00ED0DBE">
        <w:rPr>
          <w:lang w:val="uk-UA"/>
        </w:rPr>
        <w:t xml:space="preserve"> </w:t>
      </w:r>
      <w:r w:rsidR="00ED0DBE">
        <w:rPr>
          <w:lang w:val="uk-UA"/>
        </w:rPr>
        <w:t>та тобраміцин при системних інфекціях</w:t>
      </w:r>
    </w:p>
    <w:p w14:paraId="388F4463" w14:textId="77777777" w:rsidR="00D96173" w:rsidRPr="00ED0DBE" w:rsidRDefault="002F77D0" w:rsidP="00ED0DBE">
      <w:pPr>
        <w:pStyle w:val="60"/>
        <w:numPr>
          <w:ilvl w:val="0"/>
          <w:numId w:val="2"/>
        </w:numPr>
        <w:shd w:val="clear" w:color="auto" w:fill="auto"/>
        <w:tabs>
          <w:tab w:val="left" w:pos="1483"/>
        </w:tabs>
        <w:ind w:left="1120"/>
        <w:jc w:val="both"/>
        <w:rPr>
          <w:lang w:val="uk-UA"/>
        </w:rPr>
      </w:pPr>
      <w:r w:rsidRPr="00ED0DBE">
        <w:rPr>
          <w:lang w:val="uk-UA"/>
        </w:rPr>
        <w:t>Acinetobacter</w:t>
      </w:r>
      <w:r w:rsidRPr="00ED0DBE">
        <w:rPr>
          <w:rStyle w:val="61"/>
          <w:lang w:val="uk-UA"/>
        </w:rPr>
        <w:t xml:space="preserve"> spp</w:t>
      </w:r>
    </w:p>
    <w:p w14:paraId="6B3F5BA2" w14:textId="3D042673" w:rsidR="00D96173" w:rsidRPr="00ED0DBE" w:rsidRDefault="002F77D0" w:rsidP="00ED0DBE">
      <w:pPr>
        <w:pStyle w:val="23"/>
        <w:shd w:val="clear" w:color="auto" w:fill="auto"/>
        <w:spacing w:before="0" w:after="0"/>
        <w:ind w:left="1900"/>
        <w:jc w:val="both"/>
        <w:rPr>
          <w:lang w:val="uk-UA"/>
        </w:rPr>
      </w:pPr>
      <w:r w:rsidRPr="00ED0DBE">
        <w:rPr>
          <w:lang w:val="uk-UA"/>
        </w:rPr>
        <w:t xml:space="preserve">i. </w:t>
      </w:r>
      <w:r w:rsidR="00ED0DBE">
        <w:rPr>
          <w:lang w:val="uk-UA"/>
        </w:rPr>
        <w:t>Амікцин</w:t>
      </w:r>
      <w:r w:rsidR="00ED0DBE" w:rsidRPr="00ED0DBE">
        <w:rPr>
          <w:lang w:val="uk-UA"/>
        </w:rPr>
        <w:t xml:space="preserve">, </w:t>
      </w:r>
      <w:r w:rsidR="00ED0DBE">
        <w:rPr>
          <w:lang w:val="uk-UA"/>
        </w:rPr>
        <w:t>гентаміцин та тобраміцин при системних інфекціях</w:t>
      </w:r>
    </w:p>
    <w:p w14:paraId="78AB559A" w14:textId="77777777" w:rsidR="00D96173" w:rsidRPr="00ED0DBE" w:rsidRDefault="002F77D0" w:rsidP="00ED0DBE">
      <w:pPr>
        <w:pStyle w:val="60"/>
        <w:numPr>
          <w:ilvl w:val="0"/>
          <w:numId w:val="2"/>
        </w:numPr>
        <w:shd w:val="clear" w:color="auto" w:fill="auto"/>
        <w:tabs>
          <w:tab w:val="left" w:pos="1483"/>
        </w:tabs>
        <w:ind w:left="1120"/>
        <w:jc w:val="both"/>
        <w:rPr>
          <w:lang w:val="uk-UA"/>
        </w:rPr>
      </w:pPr>
      <w:r w:rsidRPr="00ED0DBE">
        <w:rPr>
          <w:lang w:val="uk-UA"/>
        </w:rPr>
        <w:t>Staphylococcus</w:t>
      </w:r>
      <w:r w:rsidRPr="00ED0DBE">
        <w:rPr>
          <w:rStyle w:val="61"/>
          <w:lang w:val="uk-UA"/>
        </w:rPr>
        <w:t xml:space="preserve"> spp</w:t>
      </w:r>
    </w:p>
    <w:p w14:paraId="5FFFE99B" w14:textId="3D6362E0" w:rsidR="00D96173" w:rsidRPr="00ED0DBE" w:rsidRDefault="002F77D0" w:rsidP="00ED0DBE">
      <w:pPr>
        <w:pStyle w:val="23"/>
        <w:shd w:val="clear" w:color="auto" w:fill="auto"/>
        <w:spacing w:before="0"/>
        <w:ind w:left="1900"/>
        <w:jc w:val="both"/>
        <w:rPr>
          <w:lang w:val="uk-UA"/>
        </w:rPr>
      </w:pPr>
      <w:r w:rsidRPr="00ED0DBE">
        <w:rPr>
          <w:lang w:val="uk-UA"/>
        </w:rPr>
        <w:t xml:space="preserve">i. </w:t>
      </w:r>
      <w:r w:rsidR="00ED0DBE">
        <w:rPr>
          <w:lang w:val="uk-UA"/>
        </w:rPr>
        <w:t>Амікцин</w:t>
      </w:r>
      <w:r w:rsidR="00ED0DBE" w:rsidRPr="00ED0DBE">
        <w:rPr>
          <w:lang w:val="uk-UA"/>
        </w:rPr>
        <w:t xml:space="preserve">, </w:t>
      </w:r>
      <w:r w:rsidR="00ED0DBE">
        <w:rPr>
          <w:lang w:val="uk-UA"/>
        </w:rPr>
        <w:t>гентаміцин та тобраміцин при системних інфекціях</w:t>
      </w:r>
    </w:p>
    <w:p w14:paraId="77B1D877" w14:textId="0F1072F1" w:rsidR="00D96173" w:rsidRPr="00ED0DBE" w:rsidRDefault="00ED0DBE" w:rsidP="00ED0DBE">
      <w:pPr>
        <w:pStyle w:val="23"/>
        <w:numPr>
          <w:ilvl w:val="0"/>
          <w:numId w:val="1"/>
        </w:numPr>
        <w:shd w:val="clear" w:color="auto" w:fill="auto"/>
        <w:tabs>
          <w:tab w:val="left" w:pos="768"/>
        </w:tabs>
        <w:spacing w:before="0" w:after="0"/>
        <w:ind w:left="400"/>
        <w:jc w:val="both"/>
        <w:rPr>
          <w:lang w:val="uk-UA"/>
        </w:rPr>
      </w:pPr>
      <w:r>
        <w:rPr>
          <w:lang w:val="uk-UA"/>
        </w:rPr>
        <w:t>Колістин</w:t>
      </w:r>
      <w:r w:rsidR="002F77D0" w:rsidRPr="00ED0DBE">
        <w:rPr>
          <w:lang w:val="uk-UA"/>
        </w:rPr>
        <w:t xml:space="preserve"> </w:t>
      </w:r>
      <w:hyperlink r:id="rId9" w:history="1">
        <w:r w:rsidR="002F77D0" w:rsidRPr="00ED0DBE">
          <w:rPr>
            <w:rStyle w:val="26"/>
            <w:lang w:val="uk-UA"/>
          </w:rPr>
          <w:t>(</w:t>
        </w:r>
        <w:r>
          <w:rPr>
            <w:rStyle w:val="24"/>
            <w:lang w:val="uk-UA"/>
          </w:rPr>
          <w:t>дивіться керівний документ</w:t>
        </w:r>
        <w:r w:rsidR="002F77D0" w:rsidRPr="00ED0DBE">
          <w:rPr>
            <w:lang w:val="uk-UA"/>
          </w:rPr>
          <w:t>)</w:t>
        </w:r>
      </w:hyperlink>
    </w:p>
    <w:p w14:paraId="7CCA426A" w14:textId="77777777" w:rsidR="00D96173" w:rsidRPr="00ED0DBE" w:rsidRDefault="002F77D0" w:rsidP="00ED0DBE">
      <w:pPr>
        <w:pStyle w:val="60"/>
        <w:numPr>
          <w:ilvl w:val="0"/>
          <w:numId w:val="3"/>
        </w:numPr>
        <w:shd w:val="clear" w:color="auto" w:fill="auto"/>
        <w:tabs>
          <w:tab w:val="left" w:pos="1483"/>
        </w:tabs>
        <w:ind w:left="1120"/>
        <w:jc w:val="both"/>
        <w:rPr>
          <w:lang w:val="uk-UA"/>
        </w:rPr>
      </w:pPr>
      <w:r w:rsidRPr="00ED0DBE">
        <w:rPr>
          <w:lang w:val="uk-UA"/>
        </w:rPr>
        <w:t>Enterobacterales</w:t>
      </w:r>
    </w:p>
    <w:p w14:paraId="7662E001" w14:textId="77777777" w:rsidR="00D96173" w:rsidRPr="00ED0DBE" w:rsidRDefault="002F77D0" w:rsidP="00ED0DBE">
      <w:pPr>
        <w:pStyle w:val="60"/>
        <w:numPr>
          <w:ilvl w:val="0"/>
          <w:numId w:val="3"/>
        </w:numPr>
        <w:shd w:val="clear" w:color="auto" w:fill="auto"/>
        <w:tabs>
          <w:tab w:val="left" w:pos="1483"/>
        </w:tabs>
        <w:ind w:left="1120"/>
        <w:jc w:val="both"/>
        <w:rPr>
          <w:lang w:val="uk-UA"/>
        </w:rPr>
      </w:pPr>
      <w:r w:rsidRPr="00ED0DBE">
        <w:rPr>
          <w:lang w:val="uk-UA"/>
        </w:rPr>
        <w:t>Pseudomonas</w:t>
      </w:r>
      <w:r w:rsidRPr="00ED0DBE">
        <w:rPr>
          <w:rStyle w:val="61"/>
          <w:lang w:val="uk-UA"/>
        </w:rPr>
        <w:t xml:space="preserve"> spp</w:t>
      </w:r>
    </w:p>
    <w:p w14:paraId="4A387E2C" w14:textId="77777777" w:rsidR="00D96173" w:rsidRPr="00ED0DBE" w:rsidRDefault="002F77D0" w:rsidP="00ED0DBE">
      <w:pPr>
        <w:pStyle w:val="60"/>
        <w:numPr>
          <w:ilvl w:val="0"/>
          <w:numId w:val="3"/>
        </w:numPr>
        <w:shd w:val="clear" w:color="auto" w:fill="auto"/>
        <w:tabs>
          <w:tab w:val="left" w:pos="1483"/>
        </w:tabs>
        <w:spacing w:after="280"/>
        <w:ind w:left="1120"/>
        <w:jc w:val="both"/>
        <w:rPr>
          <w:lang w:val="uk-UA"/>
        </w:rPr>
      </w:pPr>
      <w:r w:rsidRPr="00ED0DBE">
        <w:rPr>
          <w:lang w:val="uk-UA"/>
        </w:rPr>
        <w:t>Acinetobacter</w:t>
      </w:r>
      <w:r w:rsidRPr="00ED0DBE">
        <w:rPr>
          <w:rStyle w:val="61"/>
          <w:lang w:val="uk-UA"/>
        </w:rPr>
        <w:t xml:space="preserve"> spp</w:t>
      </w:r>
    </w:p>
    <w:p w14:paraId="744D48E7" w14:textId="1C20C508" w:rsidR="00D96173" w:rsidRPr="00ED0DBE" w:rsidRDefault="00ED0DBE" w:rsidP="00ED0DBE">
      <w:pPr>
        <w:pStyle w:val="23"/>
        <w:numPr>
          <w:ilvl w:val="0"/>
          <w:numId w:val="1"/>
        </w:numPr>
        <w:shd w:val="clear" w:color="auto" w:fill="auto"/>
        <w:tabs>
          <w:tab w:val="left" w:pos="768"/>
        </w:tabs>
        <w:spacing w:before="0" w:after="0"/>
        <w:ind w:left="400"/>
        <w:jc w:val="both"/>
        <w:rPr>
          <w:lang w:val="uk-UA"/>
        </w:rPr>
      </w:pPr>
      <w:r>
        <w:rPr>
          <w:lang w:val="uk-UA"/>
        </w:rPr>
        <w:t>Кліндаміцин</w:t>
      </w:r>
    </w:p>
    <w:p w14:paraId="53F2CDD6" w14:textId="77777777" w:rsidR="00D96173" w:rsidRPr="00ED0DBE" w:rsidRDefault="002F77D0" w:rsidP="00ED0DBE">
      <w:pPr>
        <w:pStyle w:val="23"/>
        <w:shd w:val="clear" w:color="auto" w:fill="auto"/>
        <w:spacing w:before="0" w:after="0"/>
        <w:ind w:left="1120"/>
        <w:jc w:val="both"/>
        <w:rPr>
          <w:lang w:val="uk-UA"/>
        </w:rPr>
      </w:pPr>
      <w:r w:rsidRPr="00ED0DBE">
        <w:rPr>
          <w:lang w:val="uk-UA"/>
        </w:rPr>
        <w:t>a. Bacteroides spp</w:t>
      </w:r>
    </w:p>
    <w:p w14:paraId="4DFC2303" w14:textId="77777777" w:rsidR="00ED0DBE" w:rsidRPr="00ED0DBE" w:rsidRDefault="00ED0DBE" w:rsidP="00ED0DBE">
      <w:pPr>
        <w:pStyle w:val="23"/>
        <w:spacing w:before="0" w:after="0" w:line="240" w:lineRule="auto"/>
        <w:ind w:left="1480"/>
        <w:jc w:val="both"/>
        <w:rPr>
          <w:lang w:val="uk-UA"/>
        </w:rPr>
      </w:pPr>
      <w:r w:rsidRPr="00ED0DBE">
        <w:rPr>
          <w:lang w:val="uk-UA"/>
        </w:rPr>
        <w:t>Багато видів Bacteroides без механізмів резистентності мають значення МІК кліндаміцину 1,2 і 4, а деякі види навіть вищі МІК. Усі інші види з граничними значеннями для кліндаміцину мають значення МІК дикого типу та граничні значення 0,5 мг/л або нижче (наприклад, стафілококи, стрептококи, S. pneumoniae).</w:t>
      </w:r>
    </w:p>
    <w:p w14:paraId="463258B1" w14:textId="5CD808B9" w:rsidR="00D96173" w:rsidRPr="00ED0DBE" w:rsidRDefault="00ED0DBE" w:rsidP="00ED0DBE">
      <w:pPr>
        <w:pStyle w:val="23"/>
        <w:shd w:val="clear" w:color="auto" w:fill="auto"/>
        <w:spacing w:before="0" w:after="0"/>
        <w:ind w:left="1480"/>
        <w:jc w:val="both"/>
        <w:rPr>
          <w:lang w:val="uk-UA"/>
        </w:rPr>
      </w:pPr>
      <w:r w:rsidRPr="00ED0DBE">
        <w:rPr>
          <w:lang w:val="uk-UA"/>
        </w:rPr>
        <w:t>Більшість інфекцій, викликаних Bacteroides, включають аеробні та анаеробні бактерії, і терапевтичні традиції здебільшого вимагають комбінованої терапії</w:t>
      </w:r>
      <w:r w:rsidR="002F77D0" w:rsidRPr="00ED0DBE">
        <w:rPr>
          <w:lang w:val="uk-UA"/>
        </w:rPr>
        <w:t>.</w:t>
      </w:r>
    </w:p>
    <w:sectPr w:rsidR="00D96173" w:rsidRPr="00ED0DBE">
      <w:footerReference w:type="default" r:id="rId10"/>
      <w:pgSz w:w="11900" w:h="16840"/>
      <w:pgMar w:top="1104" w:right="1138" w:bottom="1882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C80E1" w14:textId="77777777" w:rsidR="002F77D0" w:rsidRDefault="002F77D0">
      <w:r>
        <w:separator/>
      </w:r>
    </w:p>
  </w:endnote>
  <w:endnote w:type="continuationSeparator" w:id="0">
    <w:p w14:paraId="03242C71" w14:textId="77777777" w:rsidR="002F77D0" w:rsidRDefault="002F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FCAC" w14:textId="4B2A2E19" w:rsidR="00D96173" w:rsidRDefault="00C33DE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5235865A" wp14:editId="37261616">
              <wp:simplePos x="0" y="0"/>
              <wp:positionH relativeFrom="page">
                <wp:posOffset>734695</wp:posOffset>
              </wp:positionH>
              <wp:positionV relativeFrom="page">
                <wp:posOffset>10098405</wp:posOffset>
              </wp:positionV>
              <wp:extent cx="6102350" cy="186055"/>
              <wp:effectExtent l="1270" t="1905" r="1905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D30EE" w14:textId="43C6DEB0" w:rsidR="00D96173" w:rsidRPr="00C33DEC" w:rsidRDefault="00C33DEC">
                          <w:pPr>
                            <w:pStyle w:val="a4"/>
                            <w:shd w:val="clear" w:color="auto" w:fill="auto"/>
                            <w:tabs>
                              <w:tab w:val="right" w:pos="6974"/>
                              <w:tab w:val="right" w:pos="9610"/>
                            </w:tabs>
                            <w:spacing w:line="240" w:lineRule="auto"/>
                            <w:rPr>
                              <w:lang w:val="ru-RU"/>
                            </w:rPr>
                          </w:pPr>
                          <w:r>
                            <w:rPr>
                              <w:rStyle w:val="a5"/>
                              <w:lang w:val="uk-UA"/>
                            </w:rPr>
                            <w:t xml:space="preserve">Керівництво </w:t>
                          </w:r>
                          <w:r w:rsidR="002F77D0">
                            <w:rPr>
                              <w:rStyle w:val="a5"/>
                            </w:rPr>
                            <w:t>EUCAST</w:t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 xml:space="preserve">: </w:t>
                          </w:r>
                          <w:r>
                            <w:rPr>
                              <w:rStyle w:val="a5"/>
                              <w:lang w:val="uk-UA"/>
                            </w:rPr>
                            <w:t>Граничні значення в дужках</w:t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ab/>
                          </w:r>
                          <w:r>
                            <w:rPr>
                              <w:rStyle w:val="a5"/>
                              <w:lang w:val="uk-UA"/>
                            </w:rPr>
                            <w:t>Грудень</w:t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 xml:space="preserve"> 2021</w:t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ab/>
                          </w:r>
                          <w:r>
                            <w:rPr>
                              <w:rStyle w:val="a5"/>
                              <w:lang w:val="uk-UA"/>
                            </w:rPr>
                            <w:t>Сторінка</w:t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 xml:space="preserve"> </w:t>
                          </w:r>
                          <w:r w:rsidR="002F77D0">
                            <w:fldChar w:fldCharType="begin"/>
                          </w:r>
                          <w:r w:rsidR="002F77D0" w:rsidRPr="00C33DEC">
                            <w:rPr>
                              <w:lang w:val="ru-RU"/>
                            </w:rPr>
                            <w:instrText xml:space="preserve"> </w:instrText>
                          </w:r>
                          <w:r w:rsidR="002F77D0">
                            <w:instrText>PAGE</w:instrText>
                          </w:r>
                          <w:r w:rsidR="002F77D0" w:rsidRPr="00C33DEC">
                            <w:rPr>
                              <w:lang w:val="ru-RU"/>
                            </w:rPr>
                            <w:instrText xml:space="preserve"> \* </w:instrText>
                          </w:r>
                          <w:r w:rsidR="002F77D0">
                            <w:instrText>MERGEFORMAT</w:instrText>
                          </w:r>
                          <w:r w:rsidR="002F77D0" w:rsidRPr="00C33DEC">
                            <w:rPr>
                              <w:lang w:val="ru-RU"/>
                            </w:rPr>
                            <w:instrText xml:space="preserve"> </w:instrText>
                          </w:r>
                          <w:r w:rsidR="002F77D0">
                            <w:fldChar w:fldCharType="separate"/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>#</w:t>
                          </w:r>
                          <w:r w:rsidR="002F77D0">
                            <w:rPr>
                              <w:rStyle w:val="a5"/>
                            </w:rPr>
                            <w:fldChar w:fldCharType="end"/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Style w:val="a5"/>
                              <w:lang w:val="uk-UA"/>
                            </w:rPr>
                            <w:t>з</w:t>
                          </w:r>
                          <w:r w:rsidR="002F77D0" w:rsidRPr="00C33DEC">
                            <w:rPr>
                              <w:rStyle w:val="a5"/>
                              <w:lang w:val="ru-RU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586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7.85pt;margin-top:795.15pt;width:480.5pt;height:14.65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" filled="f" stroked="f">
              <v:textbox style="mso-fit-shape-to-text:t" inset="0,0,0,0">
                <w:txbxContent>
                  <w:p w14:paraId="661D30EE" w14:textId="43C6DEB0" w:rsidR="00D96173" w:rsidRPr="00C33DEC" w:rsidRDefault="00C33DEC">
                    <w:pPr>
                      <w:pStyle w:val="a4"/>
                      <w:shd w:val="clear" w:color="auto" w:fill="auto"/>
                      <w:tabs>
                        <w:tab w:val="right" w:pos="6974"/>
                        <w:tab w:val="right" w:pos="9610"/>
                      </w:tabs>
                      <w:spacing w:line="240" w:lineRule="auto"/>
                      <w:rPr>
                        <w:lang w:val="ru-RU"/>
                      </w:rPr>
                    </w:pPr>
                    <w:r>
                      <w:rPr>
                        <w:rStyle w:val="a5"/>
                        <w:lang w:val="uk-UA"/>
                      </w:rPr>
                      <w:t xml:space="preserve">Керівництво </w:t>
                    </w:r>
                    <w:r w:rsidR="002F77D0">
                      <w:rPr>
                        <w:rStyle w:val="a5"/>
                      </w:rPr>
                      <w:t>EUCAST</w:t>
                    </w:r>
                    <w:r w:rsidR="002F77D0" w:rsidRPr="00C33DEC">
                      <w:rPr>
                        <w:rStyle w:val="a5"/>
                        <w:lang w:val="ru-RU"/>
                      </w:rPr>
                      <w:t xml:space="preserve">: </w:t>
                    </w:r>
                    <w:r>
                      <w:rPr>
                        <w:rStyle w:val="a5"/>
                        <w:lang w:val="uk-UA"/>
                      </w:rPr>
                      <w:t>Граничні значення в дужках</w:t>
                    </w:r>
                    <w:r w:rsidR="002F77D0" w:rsidRPr="00C33DEC">
                      <w:rPr>
                        <w:rStyle w:val="a5"/>
                        <w:lang w:val="ru-RU"/>
                      </w:rPr>
                      <w:tab/>
                    </w:r>
                    <w:r>
                      <w:rPr>
                        <w:rStyle w:val="a5"/>
                        <w:lang w:val="uk-UA"/>
                      </w:rPr>
                      <w:t>Грудень</w:t>
                    </w:r>
                    <w:r w:rsidR="002F77D0" w:rsidRPr="00C33DEC">
                      <w:rPr>
                        <w:rStyle w:val="a5"/>
                        <w:lang w:val="ru-RU"/>
                      </w:rPr>
                      <w:t xml:space="preserve"> 2021</w:t>
                    </w:r>
                    <w:r w:rsidR="002F77D0" w:rsidRPr="00C33DEC">
                      <w:rPr>
                        <w:rStyle w:val="a5"/>
                        <w:lang w:val="ru-RU"/>
                      </w:rPr>
                      <w:tab/>
                    </w:r>
                    <w:r>
                      <w:rPr>
                        <w:rStyle w:val="a5"/>
                        <w:lang w:val="uk-UA"/>
                      </w:rPr>
                      <w:t>Сторінка</w:t>
                    </w:r>
                    <w:r w:rsidR="002F77D0" w:rsidRPr="00C33DEC">
                      <w:rPr>
                        <w:rStyle w:val="a5"/>
                        <w:lang w:val="ru-RU"/>
                      </w:rPr>
                      <w:t xml:space="preserve"> </w:t>
                    </w:r>
                    <w:r w:rsidR="002F77D0">
                      <w:fldChar w:fldCharType="begin"/>
                    </w:r>
                    <w:r w:rsidR="002F77D0" w:rsidRPr="00C33DEC">
                      <w:rPr>
                        <w:lang w:val="ru-RU"/>
                      </w:rPr>
                      <w:instrText xml:space="preserve"> </w:instrText>
                    </w:r>
                    <w:r w:rsidR="002F77D0">
                      <w:instrText>PAGE</w:instrText>
                    </w:r>
                    <w:r w:rsidR="002F77D0" w:rsidRPr="00C33DEC">
                      <w:rPr>
                        <w:lang w:val="ru-RU"/>
                      </w:rPr>
                      <w:instrText xml:space="preserve"> \* </w:instrText>
                    </w:r>
                    <w:r w:rsidR="002F77D0">
                      <w:instrText>MERGEFORMAT</w:instrText>
                    </w:r>
                    <w:r w:rsidR="002F77D0" w:rsidRPr="00C33DEC">
                      <w:rPr>
                        <w:lang w:val="ru-RU"/>
                      </w:rPr>
                      <w:instrText xml:space="preserve"> </w:instrText>
                    </w:r>
                    <w:r w:rsidR="002F77D0">
                      <w:fldChar w:fldCharType="separate"/>
                    </w:r>
                    <w:r w:rsidR="002F77D0" w:rsidRPr="00C33DEC">
                      <w:rPr>
                        <w:rStyle w:val="a5"/>
                        <w:lang w:val="ru-RU"/>
                      </w:rPr>
                      <w:t>#</w:t>
                    </w:r>
                    <w:r w:rsidR="002F77D0">
                      <w:rPr>
                        <w:rStyle w:val="a5"/>
                      </w:rPr>
                      <w:fldChar w:fldCharType="end"/>
                    </w:r>
                    <w:r w:rsidR="002F77D0" w:rsidRPr="00C33DEC">
                      <w:rPr>
                        <w:rStyle w:val="a5"/>
                        <w:lang w:val="ru-RU"/>
                      </w:rPr>
                      <w:t xml:space="preserve"> </w:t>
                    </w:r>
                    <w:r>
                      <w:rPr>
                        <w:rStyle w:val="a5"/>
                        <w:lang w:val="uk-UA"/>
                      </w:rPr>
                      <w:t>з</w:t>
                    </w:r>
                    <w:r w:rsidR="002F77D0" w:rsidRPr="00C33DEC">
                      <w:rPr>
                        <w:rStyle w:val="a5"/>
                        <w:lang w:val="ru-RU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A700282" wp14:editId="10FDBB5D">
              <wp:simplePos x="0" y="0"/>
              <wp:positionH relativeFrom="page">
                <wp:posOffset>701040</wp:posOffset>
              </wp:positionH>
              <wp:positionV relativeFrom="page">
                <wp:posOffset>10038715</wp:posOffset>
              </wp:positionV>
              <wp:extent cx="6156960" cy="0"/>
              <wp:effectExtent l="15240" t="8890" r="9525" b="1016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6A5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55.2pt;margin-top:790.45pt;width:484.8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9DBA4" w14:textId="77777777" w:rsidR="002F77D0" w:rsidRDefault="002F77D0"/>
  </w:footnote>
  <w:footnote w:type="continuationSeparator" w:id="0">
    <w:p w14:paraId="6303E70F" w14:textId="77777777" w:rsidR="002F77D0" w:rsidRDefault="002F77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577D"/>
    <w:multiLevelType w:val="multilevel"/>
    <w:tmpl w:val="5184967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D8432B"/>
    <w:multiLevelType w:val="multilevel"/>
    <w:tmpl w:val="2CB692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B92D99"/>
    <w:multiLevelType w:val="multilevel"/>
    <w:tmpl w:val="23ACCAF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73"/>
    <w:rsid w:val="002F77D0"/>
    <w:rsid w:val="00C33DEC"/>
    <w:rsid w:val="00D96173"/>
    <w:rsid w:val="00ED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9B55C"/>
  <w15:docId w15:val="{35EC0EF7-3D3E-480D-A062-16F3D8AB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1">
    <w:name w:val="Основной текст (3)"/>
    <w:basedOn w:val="3"/>
    <w:rPr>
      <w:rFonts w:ascii="Arial" w:eastAsia="Arial" w:hAnsi="Arial" w:cs="Arial"/>
      <w:b w:val="0"/>
      <w:bCs w:val="0"/>
      <w:i w:val="0"/>
      <w:iCs w:val="0"/>
      <w:smallCaps w:val="0"/>
      <w:strike w:val="0"/>
      <w:color w:val="222021"/>
      <w:spacing w:val="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313pt0pt">
    <w:name w:val="Основной текст (3) + 13 pt;Полужирный;Курсив;Интервал 0 pt"/>
    <w:basedOn w:val="3"/>
    <w:rPr>
      <w:rFonts w:ascii="Arial" w:eastAsia="Arial" w:hAnsi="Arial" w:cs="Arial"/>
      <w:b/>
      <w:bCs/>
      <w:i/>
      <w:iCs/>
      <w:smallCaps w:val="0"/>
      <w:strike w:val="0"/>
      <w:color w:val="222021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15pt8pt">
    <w:name w:val="Основной текст (3) + 15 pt;Полужирный;Интервал 8 pt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222021"/>
      <w:spacing w:val="16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32">
    <w:name w:val="Основной текст (3)"/>
    <w:basedOn w:val="3"/>
    <w:rPr>
      <w:rFonts w:ascii="Arial" w:eastAsia="Arial" w:hAnsi="Arial" w:cs="Arial"/>
      <w:b w:val="0"/>
      <w:bCs w:val="0"/>
      <w:i w:val="0"/>
      <w:iCs w:val="0"/>
      <w:smallCaps w:val="0"/>
      <w:strike w:val="0"/>
      <w:color w:val="444444"/>
      <w:spacing w:val="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3105pt9pt">
    <w:name w:val="Основной текст (3) + 10;5 pt;Полужирный;Курсив;Интервал 9 pt"/>
    <w:basedOn w:val="3"/>
    <w:rPr>
      <w:rFonts w:ascii="Arial" w:eastAsia="Arial" w:hAnsi="Arial" w:cs="Arial"/>
      <w:b/>
      <w:bCs/>
      <w:i/>
      <w:iCs/>
      <w:smallCaps w:val="0"/>
      <w:strike w:val="0"/>
      <w:color w:val="222021"/>
      <w:spacing w:val="19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3LucidaSansUnicode13pt4pt200">
    <w:name w:val="Основной текст (3) + Lucida Sans Unicode;13 pt;Интервал 4 pt;Масштаб 200%"/>
    <w:basedOn w:val="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222021"/>
      <w:spacing w:val="90"/>
      <w:w w:val="200"/>
      <w:position w:val="0"/>
      <w:sz w:val="26"/>
      <w:szCs w:val="26"/>
      <w:u w:val="none"/>
      <w:lang w:val="en-US" w:eastAsia="en-US" w:bidi="en-US"/>
    </w:rPr>
  </w:style>
  <w:style w:type="character" w:customStyle="1" w:styleId="a3">
    <w:name w:val="Колонтитул_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5">
    <w:name w:val="Колонтитул"/>
    <w:basedOn w:val="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6666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41">
    <w:name w:val="Основной текст (4)"/>
    <w:basedOn w:val="4"/>
    <w:rPr>
      <w:rFonts w:ascii="Calibri" w:eastAsia="Calibri" w:hAnsi="Calibri" w:cs="Calibri"/>
      <w:b/>
      <w:bCs/>
      <w:i w:val="0"/>
      <w:iCs w:val="0"/>
      <w:smallCaps w:val="0"/>
      <w:strike w:val="0"/>
      <w:color w:val="006666"/>
      <w:spacing w:val="0"/>
      <w:w w:val="100"/>
      <w:position w:val="0"/>
      <w:sz w:val="46"/>
      <w:szCs w:val="46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1">
    <w:name w:val="Заголовок №1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6666"/>
      <w:spacing w:val="0"/>
      <w:w w:val="100"/>
      <w:position w:val="0"/>
      <w:sz w:val="56"/>
      <w:szCs w:val="56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Заголовок №2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6666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22">
    <w:name w:val="Основной текст (2)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5">
    <w:name w:val="Основной текст (2)"/>
    <w:basedOn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Полужирный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character" w:customStyle="1" w:styleId="61">
    <w:name w:val="Основной текст (6) + Не курсив"/>
    <w:basedOn w:val="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6">
    <w:name w:val="Основной текст (2)"/>
    <w:basedOn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7">
    <w:name w:val="Основной текст (2) + Курсив"/>
    <w:basedOn w:val="2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40" w:line="192" w:lineRule="exact"/>
    </w:pPr>
    <w:rPr>
      <w:rFonts w:ascii="Arial" w:eastAsia="Arial" w:hAnsi="Arial" w:cs="Arial"/>
      <w:spacing w:val="10"/>
      <w:sz w:val="16"/>
      <w:szCs w:val="1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92" w:lineRule="exact"/>
    </w:pPr>
    <w:rPr>
      <w:rFonts w:ascii="Calibri" w:eastAsia="Calibri" w:hAnsi="Calibri" w:cs="Calibri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20" w:after="560" w:line="562" w:lineRule="exact"/>
      <w:jc w:val="center"/>
    </w:pPr>
    <w:rPr>
      <w:rFonts w:ascii="Calibri" w:eastAsia="Calibri" w:hAnsi="Calibri" w:cs="Calibri"/>
      <w:b/>
      <w:bCs/>
      <w:sz w:val="46"/>
      <w:szCs w:val="4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60" w:after="280" w:line="684" w:lineRule="exact"/>
      <w:jc w:val="center"/>
      <w:outlineLvl w:val="0"/>
    </w:pPr>
    <w:rPr>
      <w:rFonts w:ascii="Calibri" w:eastAsia="Calibri" w:hAnsi="Calibri" w:cs="Calibri"/>
      <w:b/>
      <w:bCs/>
      <w:sz w:val="56"/>
      <w:szCs w:val="5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80" w:after="660" w:line="488" w:lineRule="exact"/>
      <w:jc w:val="center"/>
      <w:outlineLvl w:val="1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280" w:line="274" w:lineRule="exact"/>
    </w:pPr>
    <w:rPr>
      <w:rFonts w:ascii="Arial" w:eastAsia="Arial" w:hAnsi="Arial" w:cs="Arial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80" w:line="322" w:lineRule="exact"/>
    </w:pPr>
    <w:rPr>
      <w:rFonts w:ascii="Arial" w:eastAsia="Arial" w:hAnsi="Arial" w:cs="Arial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Arial" w:eastAsia="Arial" w:hAnsi="Arial" w:cs="Arial"/>
      <w:i/>
      <w:iCs/>
    </w:rPr>
  </w:style>
  <w:style w:type="table" w:styleId="a6">
    <w:name w:val="Table Grid"/>
    <w:basedOn w:val="a1"/>
    <w:uiPriority w:val="39"/>
    <w:rsid w:val="00ED0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D0D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0DBE"/>
    <w:rPr>
      <w:color w:val="000000"/>
    </w:rPr>
  </w:style>
  <w:style w:type="paragraph" w:styleId="a9">
    <w:name w:val="footer"/>
    <w:basedOn w:val="a"/>
    <w:link w:val="aa"/>
    <w:uiPriority w:val="99"/>
    <w:unhideWhenUsed/>
    <w:rsid w:val="00ED0D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0DB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cast.org/fileadmin/src/media/PDFs/EUCAST_files/Guidance_documents/Aminoglycoside_guidance_document_20200424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ucast.org/fileadmin/src/media/PDFs/EUCAST_files/Guidance_documents/Colistin_guidance_20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valentina.yanovskaya</dc:creator>
  <cp:lastModifiedBy>Валентина Яновська</cp:lastModifiedBy>
  <cp:revision>1</cp:revision>
  <dcterms:created xsi:type="dcterms:W3CDTF">2023-01-13T08:44:00Z</dcterms:created>
  <dcterms:modified xsi:type="dcterms:W3CDTF">2023-01-13T08:56:00Z</dcterms:modified>
</cp:coreProperties>
</file>